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135CE56D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567F74">
        <w:rPr>
          <w:rFonts w:ascii="Calibri" w:hAnsi="Calibri"/>
          <w:b/>
          <w:sz w:val="24"/>
        </w:rPr>
        <w:t>2_</w:t>
      </w:r>
      <w:r w:rsidR="00073960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28BD798F" w:rsidR="0001773C" w:rsidRDefault="00344E00" w:rsidP="0001773C">
      <w:pPr>
        <w:shd w:val="clear" w:color="auto" w:fill="C1EAFF"/>
        <w:spacing w:after="120"/>
        <w:jc w:val="both"/>
        <w:outlineLvl w:val="0"/>
        <w:rPr>
          <w:rFonts w:asciiTheme="minorHAnsi" w:hAnsiTheme="minorHAnsi" w:cstheme="minorHAnsi"/>
          <w:b/>
          <w:sz w:val="36"/>
          <w:szCs w:val="36"/>
        </w:rPr>
      </w:pPr>
      <w:r w:rsidRPr="00166630">
        <w:rPr>
          <w:rFonts w:asciiTheme="minorHAnsi" w:hAnsiTheme="minorHAnsi" w:cstheme="minorHAnsi"/>
          <w:b/>
          <w:sz w:val="36"/>
          <w:szCs w:val="36"/>
        </w:rPr>
        <w:t xml:space="preserve">Název </w:t>
      </w:r>
      <w:r w:rsidR="00567F74">
        <w:rPr>
          <w:rFonts w:asciiTheme="minorHAnsi" w:hAnsiTheme="minorHAnsi" w:cstheme="minorHAnsi"/>
          <w:b/>
          <w:sz w:val="36"/>
          <w:szCs w:val="36"/>
        </w:rPr>
        <w:t xml:space="preserve">části </w:t>
      </w:r>
      <w:r w:rsidRPr="00166630">
        <w:rPr>
          <w:rFonts w:asciiTheme="minorHAnsi" w:hAnsiTheme="minorHAnsi" w:cstheme="minorHAnsi"/>
          <w:b/>
          <w:sz w:val="36"/>
          <w:szCs w:val="36"/>
        </w:rPr>
        <w:t>veřejné zakázky</w:t>
      </w:r>
      <w:r w:rsidR="00567F74">
        <w:rPr>
          <w:rFonts w:asciiTheme="minorHAnsi" w:hAnsiTheme="minorHAnsi" w:cstheme="minorHAnsi"/>
          <w:b/>
          <w:sz w:val="36"/>
          <w:szCs w:val="36"/>
        </w:rPr>
        <w:t>: Operační svítidla</w:t>
      </w:r>
    </w:p>
    <w:p w14:paraId="07ED28B6" w14:textId="5A111A7A" w:rsidR="00567F74" w:rsidRPr="00166630" w:rsidRDefault="00567F74" w:rsidP="0001773C">
      <w:pPr>
        <w:shd w:val="clear" w:color="auto" w:fill="C1EAFF"/>
        <w:spacing w:after="120"/>
        <w:jc w:val="both"/>
        <w:outlineLvl w:val="0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Část veřejné zakázky: 3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Pr="00166630" w:rsidRDefault="00344E00" w:rsidP="00344E00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</w:pPr>
      <w:r w:rsidRPr="00166630"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66630" w:rsidRDefault="00344E00" w:rsidP="00344E00">
      <w:pPr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Pr="00166630" w:rsidRDefault="00344E00" w:rsidP="00344E0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66630" w:rsidRDefault="00344E00" w:rsidP="00344E0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 xml:space="preserve">Dodavatel vyplní tabulku níže v pravém sloupci „Splněno ANO / NE“. V úvodu pravého sloupce dodavatel </w:t>
      </w:r>
      <w:r w:rsidRPr="00166630">
        <w:rPr>
          <w:rFonts w:asciiTheme="minorHAnsi" w:hAnsiTheme="minorHAnsi" w:cstheme="minorHAnsi"/>
          <w:b/>
          <w:bCs/>
          <w:sz w:val="22"/>
          <w:szCs w:val="22"/>
        </w:rPr>
        <w:t>vybere ANO nebo NE podle toho, zda nabízený přístroj</w:t>
      </w:r>
      <w:r w:rsidRPr="00166630">
        <w:rPr>
          <w:rFonts w:asciiTheme="minorHAnsi" w:hAnsiTheme="minorHAnsi" w:cstheme="minorHAnsi"/>
          <w:sz w:val="22"/>
          <w:szCs w:val="22"/>
        </w:rPr>
        <w:t xml:space="preserve"> (zařízení, zboží) </w:t>
      </w:r>
      <w:r w:rsidRPr="00166630">
        <w:rPr>
          <w:rFonts w:asciiTheme="minorHAnsi" w:hAnsiTheme="minorHAnsi" w:cstheme="minorHAnsi"/>
          <w:b/>
          <w:bCs/>
          <w:sz w:val="22"/>
          <w:szCs w:val="22"/>
        </w:rPr>
        <w:t>komplexně splňuje požadavky zadavatele</w:t>
      </w:r>
      <w:r w:rsidRPr="00166630">
        <w:rPr>
          <w:rFonts w:asciiTheme="minorHAnsi" w:hAnsiTheme="minorHAnsi" w:cstheme="minorHAnsi"/>
          <w:sz w:val="22"/>
          <w:szCs w:val="22"/>
        </w:rPr>
        <w:t xml:space="preserve">. </w:t>
      </w:r>
      <w:r w:rsidRPr="00166630">
        <w:rPr>
          <w:rFonts w:asciiTheme="minorHAnsi" w:hAnsiTheme="minorHAnsi" w:cstheme="minorHAnsi"/>
          <w:color w:val="385623" w:themeColor="accent6" w:themeShade="80"/>
          <w:sz w:val="22"/>
          <w:szCs w:val="22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166630">
        <w:rPr>
          <w:rFonts w:asciiTheme="minorHAnsi" w:hAnsiTheme="minorHAnsi" w:cstheme="minorHAnsi"/>
          <w:sz w:val="22"/>
          <w:szCs w:val="22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Pr="00166630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338437FE" w:rsidR="00344E00" w:rsidRPr="00166630" w:rsidRDefault="001613C5" w:rsidP="0074295E">
            <w:pPr>
              <w:spacing w:before="120"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Stropní operační svítidlo s technologií LED pro použití na </w:t>
            </w:r>
            <w:r w:rsidR="00B203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chirurgických a ortopedických operačních sálech </w:t>
            </w: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trojramenné s ramenem na monitor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166630" w:rsidRDefault="00283BD1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</w:t>
            </w:r>
            <w:r w:rsidR="001843AE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</w:t>
            </w: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166630" w:rsidRDefault="00283BD1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166630" w:rsidRDefault="00283BD1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166630" w:rsidRDefault="001843AE" w:rsidP="00CF1A2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Poče</w:t>
            </w:r>
            <w:r w:rsidR="006D6B35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</w:t>
            </w: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D408239" w:rsidR="00283BD1" w:rsidRDefault="00113182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166630" w:rsidRDefault="00344E00" w:rsidP="00CF1A27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Pr="00166630" w:rsidRDefault="00787F6E" w:rsidP="00787F6E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787F6E" w14:paraId="3559D611" w14:textId="77777777" w:rsidTr="00DB780D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787F6E" w:rsidRDefault="00787F6E" w:rsidP="00787F6E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0E130931" w:rsidR="00787F6E" w:rsidRPr="00166630" w:rsidRDefault="001613C5" w:rsidP="00DC78F2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 xml:space="preserve">zdrojem světla je systém LED diod umístěných v korpusu svítidla a mísením světla přímo v optických segmentech </w:t>
            </w:r>
            <w:proofErr w:type="gramStart"/>
            <w:r w:rsidRPr="001666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svítidla</w:t>
            </w:r>
            <w:proofErr w:type="gramEnd"/>
            <w:r w:rsidRPr="00166630">
              <w:rPr>
                <w:rFonts w:asciiTheme="minorHAnsi" w:hAnsiTheme="minorHAnsi" w:cstheme="minorHAnsi"/>
                <w:sz w:val="22"/>
                <w:szCs w:val="22"/>
              </w:rPr>
              <w:t xml:space="preserve"> a ne v operačním poli (redukce nežádoucích barevných stínů – LED zdroje 3. generace)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787F6E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11C4A44" w14:textId="522CE055" w:rsidR="00787F6E" w:rsidRPr="00605906" w:rsidRDefault="00787F6E" w:rsidP="00787F6E">
            <w:pPr>
              <w:jc w:val="center"/>
              <w:rPr>
                <w:highlight w:val="lightGray"/>
              </w:rPr>
            </w:pPr>
          </w:p>
        </w:tc>
      </w:tr>
      <w:tr w:rsidR="001613C5" w14:paraId="765AE9D3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1613C5" w:rsidRDefault="001613C5" w:rsidP="001613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42D951" w14:textId="795759B9" w:rsidR="001613C5" w:rsidRPr="00166630" w:rsidRDefault="001613C5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rozsah teploty chromatičnosti možno plynule regulovat v rozsahu </w:t>
            </w:r>
            <w:r w:rsidR="00567F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3 000°K do 5 500°K za zachování chladného světla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1613C5" w:rsidRPr="002E2597" w:rsidRDefault="001613C5" w:rsidP="001613C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1613C5" w:rsidRPr="00605906" w:rsidRDefault="001613C5" w:rsidP="001613C5">
            <w:pPr>
              <w:rPr>
                <w:highlight w:val="lightGray"/>
              </w:rPr>
            </w:pPr>
          </w:p>
        </w:tc>
      </w:tr>
      <w:tr w:rsidR="001613C5" w14:paraId="7DF0E3A2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1613C5" w:rsidRPr="00956CC8" w:rsidRDefault="001613C5" w:rsidP="001613C5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9125EC6" w14:textId="7DF09A5B" w:rsidR="001613C5" w:rsidRPr="00166630" w:rsidRDefault="001613C5" w:rsidP="001613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index podání barev </w:t>
            </w:r>
            <w:r w:rsidR="00B203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proofErr w:type="spellStart"/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</w:t>
            </w:r>
            <w:proofErr w:type="spellEnd"/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99 – všechny hodnoty</w:t>
            </w:r>
            <w:r w:rsidR="00166630" w:rsidRPr="00B2039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1613C5" w:rsidRPr="002E2597" w:rsidRDefault="001613C5" w:rsidP="001613C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1613C5" w:rsidRDefault="001613C5" w:rsidP="001613C5"/>
        </w:tc>
      </w:tr>
      <w:tr w:rsidR="001613C5" w14:paraId="658D98C5" w14:textId="77777777" w:rsidTr="00DC78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1613C5" w:rsidRDefault="001613C5" w:rsidP="001613C5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E300F" w14:textId="2BE1B1A1" w:rsidR="001613C5" w:rsidRPr="00DA7C29" w:rsidRDefault="001613C5" w:rsidP="00DC78F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plynulé nastavení průměru osvětleného pole (ne krokové nastavení)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1613C5" w:rsidRPr="000D2014" w:rsidRDefault="001613C5" w:rsidP="001613C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5E1768B" w14:textId="71B542E0" w:rsidR="001613C5" w:rsidRDefault="001613C5" w:rsidP="001613C5">
            <w:pPr>
              <w:jc w:val="center"/>
            </w:pPr>
          </w:p>
        </w:tc>
      </w:tr>
      <w:tr w:rsidR="001613C5" w14:paraId="05DD2256" w14:textId="77777777" w:rsidTr="00DC78F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1613C5" w:rsidRDefault="001613C5" w:rsidP="001613C5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68C41D" w14:textId="0C683F77" w:rsidR="001613C5" w:rsidRDefault="001613C5" w:rsidP="00DC78F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plynulé nastavení intenzity osvětlení ve výše uvedeném rozsahu (ne krokové nastavení)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1613C5" w:rsidRPr="000D2014" w:rsidRDefault="001613C5" w:rsidP="001613C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11B27271" w14:textId="51D3844F" w:rsidR="001613C5" w:rsidRDefault="001613C5" w:rsidP="001613C5">
            <w:pPr>
              <w:jc w:val="center"/>
            </w:pPr>
          </w:p>
        </w:tc>
      </w:tr>
      <w:tr w:rsidR="001613C5" w14:paraId="37369FA2" w14:textId="77777777" w:rsidTr="00DB780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1613C5" w:rsidRDefault="001613C5" w:rsidP="001613C5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666C0D" w14:textId="165760C5" w:rsidR="001613C5" w:rsidRPr="006C4893" w:rsidRDefault="001613C5" w:rsidP="00DC78F2">
            <w:pPr>
              <w:tabs>
                <w:tab w:val="left" w:pos="1065"/>
              </w:tabs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homogenní osvětlení operačního pole bez barevných stínů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1613C5" w:rsidRPr="00241E4F" w:rsidRDefault="001613C5" w:rsidP="001613C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F0AAA5D" w14:textId="3A87AB22" w:rsidR="001613C5" w:rsidRDefault="001613C5" w:rsidP="001613C5">
            <w:pPr>
              <w:jc w:val="center"/>
            </w:pPr>
          </w:p>
        </w:tc>
      </w:tr>
      <w:tr w:rsidR="001613C5" w14:paraId="12CC8027" w14:textId="77777777" w:rsidTr="00DB780D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1613C5" w:rsidRDefault="001613C5" w:rsidP="001613C5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448DBE4E" w14:textId="3128234F" w:rsidR="001613C5" w:rsidRDefault="001613C5" w:rsidP="00DC78F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nastavení pracovního rozsahu bez nutnosti následného ostření při změně polohy svítidla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1613C5" w:rsidRPr="00241E4F" w:rsidRDefault="001613C5" w:rsidP="001613C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0CECE" w:themeFill="background2" w:themeFillShade="E6"/>
          </w:tcPr>
          <w:p w14:paraId="53CA4BD8" w14:textId="01BD086E" w:rsidR="001613C5" w:rsidRDefault="001613C5" w:rsidP="001613C5">
            <w:pPr>
              <w:jc w:val="center"/>
            </w:pPr>
          </w:p>
        </w:tc>
      </w:tr>
      <w:tr w:rsidR="001613C5" w14:paraId="721F03D7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1613C5" w:rsidRDefault="001613C5" w:rsidP="001613C5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95BFF" w14:textId="6BDF5AF3" w:rsidR="001613C5" w:rsidRDefault="001613C5" w:rsidP="00DC78F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multifunkční ovládání svítidla na závěsu svítidla i na stěně se současným ovládáním integrovaným do sterilní rukojeti, nástěnné ovládání nebo ovládání na svítidle prostřednictvím kapacitního displeje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1613C5" w:rsidRPr="007C379F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4C5C4E3" w14:textId="4BF9059A" w:rsidR="001613C5" w:rsidRPr="00BB7702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7C3BD5E0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1613C5" w:rsidRDefault="001613C5" w:rsidP="001613C5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17994" w14:textId="72B10087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nastavení individuálních parametrů svítidel a jejich uložení do paměti pro pozdější rychle nastavení dle typu výkonu anebo požadavku konkrétního operatéra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1613C5" w:rsidRPr="00C4354B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2B6071D" w14:textId="2B58D425" w:rsidR="001613C5" w:rsidRPr="00925E92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4E559526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1613C5" w:rsidRDefault="001613C5" w:rsidP="001613C5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52BDD" w14:textId="6F39D45A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komunikační rozhraní v českém jazyce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1613C5" w:rsidRPr="00C4354B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EE7668A" w14:textId="09CF48D7" w:rsidR="001613C5" w:rsidRPr="00925E92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339E8A6C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5E1BE7FB" w:rsidR="001613C5" w:rsidRDefault="001613C5" w:rsidP="001613C5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28CC1" w14:textId="18947330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mechanických prvků v tělese svítidla, které mají za úkol regulovat intenzitu osvětlení, průměr operačního osvětleného pole nebo jakékoli další světelné vlastnosti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7A943E4" w14:textId="702A18D3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2FE33DD4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63C26224" w:rsidR="001613C5" w:rsidRDefault="001613C5" w:rsidP="001613C5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68F50" w14:textId="1213C0E5" w:rsidR="001613C5" w:rsidRPr="003C218D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endoskopický mód pro osvětlení na pozadí s plynulou regulací intenzity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133EBA1" w14:textId="1A0743C0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446239A7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4B5DDA85" w:rsidR="001613C5" w:rsidRDefault="001613C5" w:rsidP="001613C5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0C3196" w14:textId="1ADBDD79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minimální tepelné vyzařování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C4C40E3" w14:textId="23BEE236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39997437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40E3C3B6" w:rsidR="001613C5" w:rsidRDefault="001613C5" w:rsidP="001613C5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0442A" w14:textId="7FCC1AFC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ke každému svítidlu dvě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resterilizovatelné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rukojeti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FBABAB3" w14:textId="6CF8F3B4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3FB33328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7090" w14:textId="2A789156" w:rsidR="001613C5" w:rsidRDefault="001613C5" w:rsidP="001613C5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D0BA4" w14:textId="54341FF2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snadné čištění a dezinfekce svítidel, použitý materiál a jeho poréznost, členitost povrchu, kompatibilita s laminárním prouděním a malé prostorové nároky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E49E2C" w14:textId="31E8E991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94C0BF" w14:textId="25AA222D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5CA8BB12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2CBBE3A3" w:rsidR="001613C5" w:rsidRDefault="001613C5" w:rsidP="001613C5">
            <w:pPr>
              <w:jc w:val="center"/>
            </w:pPr>
            <w:r>
              <w:t>1.1</w:t>
            </w:r>
            <w:r w:rsidR="00133FD5"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C685F" w14:textId="4B2F7DC6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použité materiály maximálně odolné vůči běžně používaným čistícím a dezinfekčním prostředkům, odolné proti poškrábání a prasknutí, skleněný dolní kryt optických segmentů a LED zdrojů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B52A59F" w14:textId="0AEDCD7A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189ED18C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2A5F" w14:textId="3093CF8A" w:rsidR="001613C5" w:rsidRDefault="001613C5" w:rsidP="001613C5">
            <w:pPr>
              <w:jc w:val="center"/>
            </w:pPr>
            <w:r>
              <w:t>1.1</w:t>
            </w:r>
            <w:r w:rsidR="00133FD5"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C62C4" w14:textId="3F7F60BD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krytí s certifikátem IP55</w:t>
            </w:r>
            <w:r w:rsidR="00166630" w:rsidRPr="00B2039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245D465" w14:textId="77777777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F1DC57" w14:textId="5FF06C7A" w:rsidR="001613C5" w:rsidRPr="00E059EA" w:rsidRDefault="001613C5" w:rsidP="001613C5">
            <w:pPr>
              <w:rPr>
                <w:color w:val="FF0000"/>
              </w:rPr>
            </w:pPr>
          </w:p>
        </w:tc>
      </w:tr>
      <w:tr w:rsidR="001613C5" w14:paraId="050FB840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3DA93" w14:textId="22BB519E" w:rsidR="001613C5" w:rsidRDefault="001613C5" w:rsidP="001613C5">
            <w:pPr>
              <w:jc w:val="center"/>
            </w:pPr>
            <w:r>
              <w:t>1.1</w:t>
            </w:r>
            <w:r w:rsidR="00133FD5"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537A8" w14:textId="267C2FC1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snadné polohování za pomoci flexibilního a plně kardanového zavěšení, nízká hmotnost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B5046B" w14:textId="139D8DDA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877554A" w14:textId="257E7623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7519B8B6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19CC" w14:textId="2ACD585E" w:rsidR="001613C5" w:rsidRDefault="001613C5" w:rsidP="001613C5">
            <w:pPr>
              <w:jc w:val="center"/>
            </w:pPr>
            <w:r>
              <w:t>1.</w:t>
            </w:r>
            <w:r w:rsidR="00133FD5">
              <w:t>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47543" w14:textId="0540C5C6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otáčení svítidel v rozsahu 360° – zcela bez dorazové provedení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E35020" w14:textId="1E57A4DC" w:rsidR="001613C5" w:rsidRPr="00670F1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85ABB8" w14:textId="7F86F32E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6E57A4A7" w14:textId="77777777" w:rsidTr="00DC78F2">
        <w:trPr>
          <w:trHeight w:val="8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E4BD3" w14:textId="53F45800" w:rsidR="001613C5" w:rsidRDefault="001613C5" w:rsidP="001613C5">
            <w:pPr>
              <w:jc w:val="center"/>
            </w:pPr>
            <w:r>
              <w:lastRenderedPageBreak/>
              <w:t>1.2</w:t>
            </w:r>
            <w:r w:rsidR="00133FD5"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FA716" w14:textId="14AF0456" w:rsidR="001613C5" w:rsidRDefault="001613C5" w:rsidP="001613C5">
            <w:pPr>
              <w:rPr>
                <w:rFonts w:cs="Arial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elektrická bezpečnost podle EN 60-601-1/VDE 0750 T-1 a IEC 60601-2-41</w:t>
            </w:r>
            <w:r w:rsidR="00166630" w:rsidRPr="00B2039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9F9AAC5" w14:textId="235C5C66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A190EC0" w14:textId="772C1D13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3E75D9B9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BCB2" w14:textId="5179D8C6" w:rsidR="001613C5" w:rsidRDefault="001613C5" w:rsidP="001613C5">
            <w:pPr>
              <w:jc w:val="center"/>
            </w:pPr>
            <w:r>
              <w:t>1.2</w:t>
            </w:r>
            <w:r w:rsidR="00133FD5">
              <w:t>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EDB4" w14:textId="318D2472" w:rsidR="001613C5" w:rsidRDefault="001613C5" w:rsidP="001613C5">
            <w:pPr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napájení 230 V / 50 Hz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3AE198" w14:textId="29516BAE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3ED3779" w14:textId="72645B5C" w:rsidR="001613C5" w:rsidRPr="00E059EA" w:rsidRDefault="001613C5" w:rsidP="001613C5">
            <w:pPr>
              <w:rPr>
                <w:color w:val="FF0000"/>
              </w:rPr>
            </w:pPr>
          </w:p>
        </w:tc>
      </w:tr>
      <w:tr w:rsidR="001613C5" w14:paraId="6E9115D4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7425" w14:textId="5EDEFBD7" w:rsidR="001613C5" w:rsidRDefault="001613C5" w:rsidP="001613C5">
            <w:pPr>
              <w:jc w:val="center"/>
            </w:pPr>
            <w:r>
              <w:t>1.2</w:t>
            </w:r>
            <w:r w:rsidR="00133FD5">
              <w:t>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F95DE" w14:textId="25F2267E" w:rsidR="001613C5" w:rsidRDefault="001613C5" w:rsidP="001613C5">
            <w:pPr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životnost světelných zdrojů minimálně 60 000 provozních hodin a 10 let provozu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154B2E" w14:textId="339CB5A6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F1DBFC" w14:textId="0F11C333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3CD3B376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B616" w14:textId="0E66BF58" w:rsidR="001613C5" w:rsidRDefault="001613C5" w:rsidP="001613C5">
            <w:pPr>
              <w:jc w:val="center"/>
            </w:pPr>
            <w:r>
              <w:t>1.2</w:t>
            </w:r>
            <w:r w:rsidR="00133FD5"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730E0" w14:textId="55BB6413" w:rsidR="001613C5" w:rsidRPr="00C0302E" w:rsidRDefault="001613C5" w:rsidP="00DC78F2">
            <w:pPr>
              <w:spacing w:line="276" w:lineRule="auto"/>
              <w:contextualSpacing/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výškově stavitelné, možnost naklánění a otáčení prostřednictvím nesterilních i sterilních prvků na tělese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4AD4C5" w14:textId="1DF16711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0D169C6" w14:textId="377A28DC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589345D1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FD23" w14:textId="78D77333" w:rsidR="001613C5" w:rsidRDefault="001613C5" w:rsidP="001613C5">
            <w:pPr>
              <w:jc w:val="center"/>
            </w:pPr>
            <w:r>
              <w:t>1.2</w:t>
            </w:r>
            <w:r w:rsidR="00133FD5"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108A" w14:textId="10FAFE81" w:rsidR="001613C5" w:rsidRDefault="001613C5" w:rsidP="00DC78F2">
            <w:pPr>
              <w:jc w:val="both"/>
              <w:rPr>
                <w:rFonts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zachování základního funkčního principu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jednozdrojového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operačního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C75C77" w14:textId="510BAEC6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533355F" w14:textId="647E55A3" w:rsidR="001613C5" w:rsidRPr="00E059EA" w:rsidRDefault="001613C5" w:rsidP="001613C5">
            <w:pPr>
              <w:rPr>
                <w:color w:val="FF0000"/>
              </w:rPr>
            </w:pPr>
          </w:p>
        </w:tc>
      </w:tr>
      <w:tr w:rsidR="001613C5" w14:paraId="18510A12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2FAF" w14:textId="3F2AC107" w:rsidR="001613C5" w:rsidRDefault="001613C5" w:rsidP="001613C5">
            <w:pPr>
              <w:jc w:val="center"/>
            </w:pPr>
            <w:r>
              <w:t>1.2</w:t>
            </w:r>
            <w:r w:rsidR="00133FD5"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82BBC" w14:textId="080246ED" w:rsidR="001613C5" w:rsidRPr="00D47AF1" w:rsidRDefault="001613C5" w:rsidP="00DC78F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instalace svítidla do místností s nízkými světlými výškami – konstrukční řešení od výrobce prostřednictvím speciálně navrženého systému ramen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7298FF" w14:textId="483CB33A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4645657" w14:textId="5DA846A0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13C5" w14:paraId="74692658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6C93" w14:textId="2601A7CB" w:rsidR="001613C5" w:rsidRDefault="001613C5" w:rsidP="001613C5">
            <w:pPr>
              <w:jc w:val="center"/>
            </w:pPr>
            <w:r>
              <w:t>1.2</w:t>
            </w:r>
            <w:r w:rsidR="00133FD5"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B264F" w14:textId="5A679E14" w:rsidR="001613C5" w:rsidRPr="00D47AF1" w:rsidRDefault="001613C5" w:rsidP="00DC78F2">
            <w:pPr>
              <w:jc w:val="both"/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garance zachování uvedené svítivosti po celou dobu životnosti operačního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C9758C" w14:textId="5BB494FB" w:rsidR="001613C5" w:rsidRPr="00E109E4" w:rsidRDefault="001613C5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AF5553" w14:textId="1BAA3DFF" w:rsidR="001613C5" w:rsidRPr="00E059EA" w:rsidRDefault="001613C5" w:rsidP="001613C5">
            <w:pPr>
              <w:jc w:val="center"/>
              <w:rPr>
                <w:color w:val="FF0000"/>
              </w:rPr>
            </w:pPr>
          </w:p>
        </w:tc>
      </w:tr>
      <w:tr w:rsidR="00166630" w14:paraId="477DEEEC" w14:textId="77777777" w:rsidTr="00DB780D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37B84" w14:textId="0DFE4430" w:rsidR="00166630" w:rsidRDefault="00166630" w:rsidP="001613C5">
            <w:pPr>
              <w:jc w:val="center"/>
            </w:pPr>
            <w:r>
              <w:t>1.2</w:t>
            </w:r>
            <w:r w:rsidR="00133FD5">
              <w:t>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6653F" w14:textId="43178014" w:rsidR="00166630" w:rsidRPr="00166630" w:rsidRDefault="00166630" w:rsidP="00DC78F2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jedno svítidlo</w:t>
            </w:r>
            <w:r w:rsidR="00F37A20">
              <w:rPr>
                <w:rFonts w:asciiTheme="minorHAnsi" w:hAnsiTheme="minorHAnsi" w:cstheme="minorHAnsi"/>
                <w:sz w:val="22"/>
                <w:szCs w:val="22"/>
              </w:rPr>
              <w:t xml:space="preserve"> na každém sále</w:t>
            </w: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 xml:space="preserve"> s přípravou na HD kamerový systém nebo bezdrátovou HD kameru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FC70A1E" w14:textId="77777777" w:rsidR="00166630" w:rsidRPr="00E109E4" w:rsidRDefault="00166630" w:rsidP="001613C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DBC769" w14:textId="77777777" w:rsidR="00166630" w:rsidRPr="00E059EA" w:rsidRDefault="00166630" w:rsidP="001613C5">
            <w:pPr>
              <w:jc w:val="center"/>
              <w:rPr>
                <w:color w:val="FF0000"/>
              </w:rPr>
            </w:pPr>
          </w:p>
        </w:tc>
      </w:tr>
      <w:tr w:rsidR="00787F6E" w14:paraId="09CA8D5F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F28DE" w14:textId="5413B1F5" w:rsidR="00787F6E" w:rsidRDefault="00EF6E53" w:rsidP="00787F6E">
            <w:pPr>
              <w:jc w:val="center"/>
            </w:pPr>
            <w:r>
              <w:t>1.</w:t>
            </w:r>
            <w:r w:rsidR="0061151C">
              <w:t>2</w:t>
            </w:r>
            <w:r w:rsidR="00133FD5">
              <w:t>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3AAF8" w14:textId="77777777" w:rsidR="00787F6E" w:rsidRPr="00DB780D" w:rsidRDefault="00DB780D" w:rsidP="00DC78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78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Technické podmínky RAMENO 1:</w:t>
            </w:r>
          </w:p>
          <w:p w14:paraId="0A3697B5" w14:textId="75307909" w:rsidR="00DB780D" w:rsidRPr="00DB780D" w:rsidRDefault="00DB780D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 xml:space="preserve">- intenzita osvětlení ve vzdálenosti 1 m min. 160 000 </w:t>
            </w:r>
            <w:proofErr w:type="spellStart"/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lx</w:t>
            </w:r>
            <w:proofErr w:type="spellEnd"/>
          </w:p>
          <w:p w14:paraId="118C6220" w14:textId="77777777" w:rsidR="00DB780D" w:rsidRPr="00DB780D" w:rsidRDefault="00DB780D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- plynulá regulace 0-100 %</w:t>
            </w:r>
          </w:p>
          <w:p w14:paraId="428FA9EF" w14:textId="707CFEE7" w:rsidR="00DB780D" w:rsidRDefault="00DB780D" w:rsidP="00DC78F2">
            <w:pPr>
              <w:jc w:val="both"/>
            </w:pP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- průměr osvětleného pole min. 140-150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771523" w14:textId="1787DCC3" w:rsidR="00787F6E" w:rsidRPr="00E109E4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7294FE" w14:textId="56CAD83B" w:rsidR="00787F6E" w:rsidRPr="00E059EA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61151C" w14:paraId="77D57A52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6D70" w14:textId="73B4F2F5" w:rsidR="0061151C" w:rsidRDefault="0061151C" w:rsidP="00787F6E">
            <w:pPr>
              <w:jc w:val="center"/>
            </w:pPr>
            <w:r>
              <w:t>1.</w:t>
            </w:r>
            <w:r w:rsidR="00133FD5">
              <w:t>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B273" w14:textId="77777777" w:rsidR="0061151C" w:rsidRPr="00DB780D" w:rsidRDefault="00DB780D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78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Technické podmínky RAMENO 2</w:t>
            </w: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32E41FB" w14:textId="77777777" w:rsidR="00DB780D" w:rsidRPr="00DB780D" w:rsidRDefault="00DB780D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 xml:space="preserve">- intenzita osvětlení ve vzdálenosti 1 m min. 160 000 </w:t>
            </w:r>
            <w:proofErr w:type="spellStart"/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lx</w:t>
            </w:r>
            <w:proofErr w:type="spellEnd"/>
          </w:p>
          <w:p w14:paraId="3CF02C5B" w14:textId="77777777" w:rsidR="00DB780D" w:rsidRPr="00DB780D" w:rsidRDefault="00DB780D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- plynulá regulace 0-100 %</w:t>
            </w:r>
          </w:p>
          <w:p w14:paraId="764022CC" w14:textId="71D49294" w:rsidR="00DB780D" w:rsidRDefault="00DB780D" w:rsidP="00DC78F2">
            <w:pPr>
              <w:jc w:val="both"/>
            </w:pPr>
            <w:r w:rsidRPr="00DB780D">
              <w:rPr>
                <w:rFonts w:asciiTheme="minorHAnsi" w:hAnsiTheme="minorHAnsi" w:cstheme="minorHAnsi"/>
                <w:sz w:val="22"/>
                <w:szCs w:val="22"/>
              </w:rPr>
              <w:t>- průměr osvětleného pole min. 140-350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83E665" w14:textId="77777777" w:rsidR="0061151C" w:rsidRPr="00E109E4" w:rsidRDefault="0061151C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2A74F5" w14:textId="77777777" w:rsidR="0061151C" w:rsidRPr="00E059EA" w:rsidRDefault="0061151C" w:rsidP="00787F6E">
            <w:pPr>
              <w:jc w:val="center"/>
              <w:rPr>
                <w:color w:val="FF0000"/>
              </w:rPr>
            </w:pPr>
          </w:p>
        </w:tc>
      </w:tr>
      <w:tr w:rsidR="0061151C" w14:paraId="46C49BFF" w14:textId="77777777" w:rsidTr="00B20393">
        <w:trPr>
          <w:trHeight w:val="41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230" w14:textId="578C4825" w:rsidR="0061151C" w:rsidRDefault="0061151C" w:rsidP="00787F6E">
            <w:pPr>
              <w:jc w:val="center"/>
            </w:pPr>
            <w:r>
              <w:t>1.3</w:t>
            </w:r>
            <w:r w:rsidR="00133FD5">
              <w:t>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C1AA" w14:textId="77777777" w:rsidR="0061151C" w:rsidRPr="00DC78F2" w:rsidRDefault="00DB780D" w:rsidP="00DC78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C78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Technické podmínky RAMENO 3:</w:t>
            </w:r>
          </w:p>
          <w:p w14:paraId="6B93BF84" w14:textId="77777777" w:rsidR="00DC78F2" w:rsidRPr="00DC78F2" w:rsidRDefault="00DC78F2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C78F2">
              <w:rPr>
                <w:rFonts w:asciiTheme="minorHAnsi" w:hAnsiTheme="minorHAnsi" w:cstheme="minorHAnsi"/>
                <w:sz w:val="22"/>
                <w:szCs w:val="22"/>
              </w:rPr>
              <w:t>- rameno pro TFT monitor</w:t>
            </w:r>
          </w:p>
          <w:p w14:paraId="3CB4A8B0" w14:textId="19460A45" w:rsidR="00DC78F2" w:rsidRDefault="00DC78F2" w:rsidP="00DC78F2">
            <w:pPr>
              <w:jc w:val="both"/>
            </w:pPr>
            <w:r w:rsidRPr="00DC78F2">
              <w:rPr>
                <w:rFonts w:asciiTheme="minorHAnsi" w:hAnsiTheme="minorHAnsi" w:cstheme="minorHAnsi"/>
                <w:sz w:val="22"/>
                <w:szCs w:val="22"/>
              </w:rPr>
              <w:t xml:space="preserve">- kompletní rameno včetně kabeláže pro TFT panel do vel. 26“. Rameno musí umožnit instalaci monitorů třetích stran s interním i externím zdrojem napájení, různými typy výstupů i různými typy mechanického uchycení </w:t>
            </w:r>
            <w:proofErr w:type="gramStart"/>
            <w:r w:rsidRPr="00DC78F2">
              <w:rPr>
                <w:rFonts w:asciiTheme="minorHAnsi" w:hAnsiTheme="minorHAnsi" w:cstheme="minorHAnsi"/>
                <w:sz w:val="22"/>
                <w:szCs w:val="22"/>
              </w:rPr>
              <w:t>VESA.</w:t>
            </w:r>
            <w:r w:rsidR="00166630" w:rsidRPr="00B20393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*</w:t>
            </w:r>
            <w:proofErr w:type="gramEnd"/>
            <w:r w:rsidRPr="00DC78F2">
              <w:rPr>
                <w:rFonts w:asciiTheme="minorHAnsi" w:hAnsiTheme="minorHAnsi" w:cstheme="minorHAnsi"/>
                <w:sz w:val="22"/>
                <w:szCs w:val="22"/>
              </w:rPr>
              <w:t xml:space="preserve"> Polohování monitoru musí být možné prostřednictvím </w:t>
            </w:r>
            <w:proofErr w:type="spellStart"/>
            <w:r w:rsidRPr="00DC78F2">
              <w:rPr>
                <w:rFonts w:asciiTheme="minorHAnsi" w:hAnsiTheme="minorHAnsi" w:cstheme="minorHAnsi"/>
                <w:sz w:val="22"/>
                <w:szCs w:val="22"/>
              </w:rPr>
              <w:t>sterilizovatelné</w:t>
            </w:r>
            <w:proofErr w:type="spellEnd"/>
            <w:r w:rsidRPr="00DC78F2">
              <w:rPr>
                <w:rFonts w:asciiTheme="minorHAnsi" w:hAnsiTheme="minorHAnsi" w:cstheme="minorHAnsi"/>
                <w:sz w:val="22"/>
                <w:szCs w:val="22"/>
              </w:rPr>
              <w:t xml:space="preserve"> rukojeti, kompatibilní se </w:t>
            </w:r>
            <w:proofErr w:type="spellStart"/>
            <w:r w:rsidRPr="00DC78F2">
              <w:rPr>
                <w:rFonts w:asciiTheme="minorHAnsi" w:hAnsiTheme="minorHAnsi" w:cstheme="minorHAnsi"/>
                <w:sz w:val="22"/>
                <w:szCs w:val="22"/>
              </w:rPr>
              <w:t>sterilizovatelnými</w:t>
            </w:r>
            <w:proofErr w:type="spellEnd"/>
            <w:r w:rsidRPr="00DC78F2">
              <w:rPr>
                <w:rFonts w:asciiTheme="minorHAnsi" w:hAnsiTheme="minorHAnsi" w:cstheme="minorHAnsi"/>
                <w:sz w:val="22"/>
                <w:szCs w:val="22"/>
              </w:rPr>
              <w:t xml:space="preserve"> rukojeťmi operační svítidel. Rameno musí splňovat požadavky na maximální flexibilitu při manipulaci a maximální akční rádius odpovídající operačním svítidlům na dalších ramenech. Rameno musí být součástí centrálního závěsu operačního svítidla – samostatné rameno je nepřípustné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B84C30" w14:textId="77777777" w:rsidR="0061151C" w:rsidRPr="00E109E4" w:rsidRDefault="0061151C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E4FCEFD" w14:textId="77777777" w:rsidR="0061151C" w:rsidRPr="00E059EA" w:rsidRDefault="0061151C" w:rsidP="00787F6E">
            <w:pPr>
              <w:jc w:val="center"/>
              <w:rPr>
                <w:color w:val="FF0000"/>
              </w:rPr>
            </w:pPr>
          </w:p>
        </w:tc>
      </w:tr>
      <w:tr w:rsidR="00133FD5" w14:paraId="11E2008A" w14:textId="77777777" w:rsidTr="00B20393">
        <w:trPr>
          <w:trHeight w:val="41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9DD8B" w14:textId="345B3A72" w:rsidR="00133FD5" w:rsidRDefault="00133FD5" w:rsidP="00787F6E">
            <w:pPr>
              <w:jc w:val="center"/>
            </w:pPr>
            <w:r>
              <w:lastRenderedPageBreak/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FCA55" w14:textId="77777777" w:rsidR="00133FD5" w:rsidRDefault="00133FD5" w:rsidP="00DC78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Požadavky na instalaci:</w:t>
            </w:r>
          </w:p>
          <w:p w14:paraId="7DB4F190" w14:textId="51C0CAF1" w:rsidR="00133FD5" w:rsidRPr="00133FD5" w:rsidRDefault="00133FD5" w:rsidP="00DC78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33FD5">
              <w:rPr>
                <w:rFonts w:asciiTheme="minorHAnsi" w:hAnsiTheme="minorHAnsi" w:cstheme="minorHAnsi"/>
                <w:sz w:val="22"/>
                <w:szCs w:val="22"/>
              </w:rPr>
              <w:t xml:space="preserve">Dodavatel operačního svítidla provede na vlastní náklady kontrolu stavební připravenosti, elektro-přívodů a kotevních prvků na stávajícím operačním sále. Instalace bude provedena s maximální možnou šetrností a s využitím stávajících kotevních a připojovacích prvků. Související celky jako například povrchy a podhledy budou po instalaci uvedeny do původního stavu. V souvislosti s instalací nového zařízení není plánována jakákoli stavební a stavebně instalační činnost ze strany zadavatele. NA ZÁKLADĚ TOHO POŽADUJE ZADAVATEL MAXIMÁLNÍ KOMPATIBILITU SE STÁVAJÍCÍMI PŘIPOJOVACÍMI PARAMETRY (kotevními elementy, mezistropními konstrukcemi, stropními tubusy, </w:t>
            </w:r>
            <w:proofErr w:type="gramStart"/>
            <w:r w:rsidRPr="00133FD5">
              <w:rPr>
                <w:rFonts w:asciiTheme="minorHAnsi" w:hAnsiTheme="minorHAnsi" w:cstheme="minorHAnsi"/>
                <w:sz w:val="22"/>
                <w:szCs w:val="22"/>
              </w:rPr>
              <w:t>elektroinstalací,</w:t>
            </w:r>
            <w:proofErr w:type="gramEnd"/>
            <w:r w:rsidRPr="00133FD5">
              <w:rPr>
                <w:rFonts w:asciiTheme="minorHAnsi" w:hAnsiTheme="minorHAnsi" w:cstheme="minorHAnsi"/>
                <w:sz w:val="22"/>
                <w:szCs w:val="22"/>
              </w:rPr>
              <w:t xml:space="preserve"> atd.) Všechna nově instalovaná zařízení budou opatřena příslušnými revizními zprávami a obvyklou dokumentací, která odpovídá zákonným normám v době instalace. Zejména pak prohlášením o shodě, certifikátem označení CE, certifikátem systému řízení jakosti dle norem ISO a návodem k obsluze v českém jazyce.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A419E0" w14:textId="77777777" w:rsidR="00133FD5" w:rsidRPr="00E109E4" w:rsidRDefault="00133FD5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8163E4" w14:textId="77777777" w:rsidR="00133FD5" w:rsidRPr="00E059EA" w:rsidRDefault="00133FD5" w:rsidP="00787F6E">
            <w:pPr>
              <w:jc w:val="center"/>
              <w:rPr>
                <w:color w:val="FF0000"/>
              </w:rPr>
            </w:pPr>
          </w:p>
        </w:tc>
      </w:tr>
    </w:tbl>
    <w:p w14:paraId="562D7DCE" w14:textId="77777777" w:rsidR="00B20393" w:rsidRPr="00B20393" w:rsidRDefault="00B20393" w:rsidP="00B20393">
      <w:pPr>
        <w:jc w:val="both"/>
        <w:rPr>
          <w:i/>
          <w:color w:val="FF0000"/>
        </w:rPr>
      </w:pPr>
      <w:r w:rsidRPr="00B20393">
        <w:rPr>
          <w:rFonts w:cs="Arial"/>
          <w:color w:val="FF0000"/>
        </w:rPr>
        <w:t>*</w:t>
      </w:r>
      <w:r w:rsidRPr="00B20393">
        <w:rPr>
          <w:i/>
          <w:color w:val="FF0000"/>
        </w:rPr>
        <w:t xml:space="preserve"> </w:t>
      </w:r>
      <w:r w:rsidRPr="00B20393">
        <w:rPr>
          <w:i/>
          <w:color w:val="FF0000"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B20393">
        <w:rPr>
          <w:i/>
          <w:color w:val="FF0000"/>
        </w:rPr>
        <w:t xml:space="preserve"> </w:t>
      </w:r>
    </w:p>
    <w:p w14:paraId="4447A48D" w14:textId="77777777" w:rsidR="00344E00" w:rsidRDefault="00344E00" w:rsidP="00344E00">
      <w:pPr>
        <w:rPr>
          <w:b/>
          <w:bCs/>
        </w:rPr>
      </w:pPr>
    </w:p>
    <w:p w14:paraId="274379B1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3699B52E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43E634FD" w14:textId="2ADE041A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2250275F" w14:textId="78033DC0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2F64F193" w14:textId="4E9473EF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3030885E" w14:textId="50EC513E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4F5A239" w14:textId="2E5D315C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483B694B" w14:textId="2A43380A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FC9B0A5" w14:textId="278AA20E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0C77AD29" w14:textId="663AA89A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73630A50" w14:textId="398F8E42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535142BB" w14:textId="6F79E815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32C959E7" w14:textId="718AB886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71D5E310" w14:textId="3574DCB7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5F4434B7" w14:textId="56A74152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981D5C1" w14:textId="34F24DB1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4E9B4D73" w14:textId="36F71FED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41909732" w14:textId="630539AB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5A825386" w14:textId="54CB25ED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07AE4AB" w14:textId="55A3395B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71DC2B9A" w14:textId="2681A117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560DC9CB" w14:textId="6A0353CD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CB2BE42" w14:textId="1039BB34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1CF6979" w14:textId="77777777" w:rsidR="00133FD5" w:rsidRDefault="00133FD5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70B12C7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E68B759" w14:textId="77777777" w:rsidR="00166630" w:rsidRDefault="00166630" w:rsidP="00B20393">
      <w:pPr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62A9FF08" w14:textId="77777777" w:rsidR="00166630" w:rsidRDefault="00166630" w:rsidP="0022678C">
      <w:pPr>
        <w:jc w:val="right"/>
        <w:rPr>
          <w:b/>
          <w:bCs/>
          <w:i/>
          <w:iCs/>
          <w:color w:val="FF0000"/>
          <w:sz w:val="22"/>
          <w:szCs w:val="22"/>
          <w:highlight w:val="yellow"/>
        </w:rPr>
      </w:pPr>
    </w:p>
    <w:p w14:paraId="146CBEF7" w14:textId="424EC360" w:rsidR="0022678C" w:rsidRPr="00166630" w:rsidRDefault="0022678C" w:rsidP="0022678C">
      <w:pPr>
        <w:jc w:val="right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highlight w:val="yellow"/>
        </w:rPr>
        <w:lastRenderedPageBreak/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22678C" w:rsidRPr="00166630" w14:paraId="7176C61A" w14:textId="77777777" w:rsidTr="00C63790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6C094" w14:textId="6A67A7A5" w:rsidR="0022678C" w:rsidRPr="00166630" w:rsidRDefault="00B20393" w:rsidP="00C63790">
            <w:pPr>
              <w:spacing w:before="120" w:after="120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Stropní operační svítidlo s technologií LED pro použití</w:t>
            </w:r>
            <w:r w:rsidR="0022678C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 gynekologick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ém</w:t>
            </w:r>
            <w:r w:rsidR="0022678C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operační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</w:t>
            </w:r>
            <w:r w:rsidR="0022678C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22678C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sál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="0022678C"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 dvojramenné</w:t>
            </w:r>
            <w:proofErr w:type="gramEnd"/>
          </w:p>
        </w:tc>
      </w:tr>
      <w:tr w:rsidR="0022678C" w:rsidRPr="00166630" w14:paraId="6040B563" w14:textId="77777777" w:rsidTr="00C63790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D990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3996EE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5B56DC20" w14:textId="77777777" w:rsidTr="00C63790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B8197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6274389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613FA0A6" w14:textId="77777777" w:rsidTr="00C63790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78D1F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FD9B6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7327DB99" w14:textId="77777777" w:rsidTr="00C63790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2DF2A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2673" w14:textId="29B06D30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</w:tr>
      <w:tr w:rsidR="0022678C" w:rsidRPr="00166630" w14:paraId="621F77DC" w14:textId="77777777" w:rsidTr="00C63790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63E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4A5A7B5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11B32985" w14:textId="77777777" w:rsidTr="00C63790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61A19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8640F7E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12397EE2" w14:textId="77777777" w:rsidTr="00C63790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9781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25CEE95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1E401B14" w14:textId="77777777" w:rsidTr="00C63790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552C8" w14:textId="77777777" w:rsidR="0022678C" w:rsidRPr="00166630" w:rsidRDefault="0022678C" w:rsidP="00C6379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705A2B7" w14:textId="77777777" w:rsidR="0022678C" w:rsidRPr="00166630" w:rsidRDefault="0022678C" w:rsidP="00C63790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2678C" w:rsidRPr="00166630" w14:paraId="7DF782E8" w14:textId="77777777" w:rsidTr="00C63790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C5B8484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22678C" w:rsidRPr="00166630" w14:paraId="1E0400C2" w14:textId="77777777" w:rsidTr="00C63790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B65FF03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2F4CBF7" w14:textId="77777777" w:rsidR="0022678C" w:rsidRPr="00166630" w:rsidRDefault="0022678C" w:rsidP="00C63790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74418D35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Splněno </w:t>
            </w:r>
          </w:p>
          <w:p w14:paraId="11D3193A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6A7B79FE" w14:textId="77777777" w:rsidR="0022678C" w:rsidRPr="00166630" w:rsidRDefault="0022678C" w:rsidP="00C63790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</w:p>
        </w:tc>
      </w:tr>
      <w:tr w:rsidR="00B20393" w:rsidRPr="00166630" w14:paraId="7CDC27D7" w14:textId="77777777" w:rsidTr="00B13A5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DD324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3B9DC8D" w14:textId="698C7CC8" w:rsidR="00B20393" w:rsidRPr="00166630" w:rsidRDefault="00B20393" w:rsidP="00B20393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zdrojem světla je systém LED diod umístěných v korpusu svítidla a mísením světla přímo v optických segmentech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svítidla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 ne v operačním poli (redukce nežádoucích barevných stínů – LED zdroje 3. generace)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C4EEA35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7BDD0D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</w:tr>
      <w:tr w:rsidR="00B20393" w:rsidRPr="00166630" w14:paraId="5836980F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F16781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1C9834" w14:textId="258C5E32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rozsah teploty chromatičnosti možno plynule regulovat v rozsahu </w:t>
            </w:r>
            <w:r w:rsidR="00567F7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od 3 000°K do 5 500°K za zachování chladného světla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5007E2A6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8ED963" w14:textId="77777777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</w:p>
        </w:tc>
      </w:tr>
      <w:tr w:rsidR="00B20393" w:rsidRPr="00166630" w14:paraId="52095AAC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746345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113685" w14:textId="3FCEA346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index podání barev min.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99</w:t>
            </w:r>
            <w:r w:rsidR="000B36C7" w:rsidRPr="000B36C7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všechny hodnoty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46547BD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C7DD2B6" w14:textId="77777777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0393" w:rsidRPr="00166630" w14:paraId="41EBA7FB" w14:textId="77777777" w:rsidTr="00783A4F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480F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213D8B" w14:textId="459484F7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plynulé nastavení průměru osvětleného pole (ne krokové nastavení)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7B42CC05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C99C371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0393" w:rsidRPr="00166630" w14:paraId="0A06A4FB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83189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11715" w14:textId="6DBDD9F6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plynulé nastavení intenzity osvětlení ve výše uvedeném rozsahu (ne krokové nastavení)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1CF50F5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59616FB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0393" w:rsidRPr="00166630" w14:paraId="0416D805" w14:textId="77777777" w:rsidTr="00783A4F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3F631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389ACF" w14:textId="275F913A" w:rsidR="00B20393" w:rsidRPr="00166630" w:rsidRDefault="00B20393" w:rsidP="00B20393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homogenní osvětlení operačního pole bez barevných stínů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B97A4FB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3A10A58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0393" w:rsidRPr="00166630" w14:paraId="17ECB3A7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DD3D" w14:textId="5D94AF1E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342F5" w14:textId="1853366A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nastavení pracovního rozsahu bez nutnosti následného ostření při změně polohy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FC63A7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187F5C7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3C79F258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D7C5" w14:textId="13843620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C6930F" w14:textId="4B5B39E7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multifunkční ovládání svítidla na závěsu svítidla i na stěně se současným ovládáním integrovaným do sterilní rukojeti, nástěnné ovládání nebo ovládání na svítidle prostřednictvím kapacitního displeje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046EE8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81F869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4EF45AAA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09AF3" w14:textId="4C28355B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54DF1" w14:textId="05C93201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nastavení individuálních parametrů svítidel a jejich uložení do paměti pro pozdější rychle nastavení dle typu výkonu anebo požadavku konkrétního operatéra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6C0572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D19B9A9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5E2E9100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71689" w14:textId="68226FA3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83307" w14:textId="12901719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komunikační rozhraní v českém jazyce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80A624B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169AD6A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787C6BD3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D9081" w14:textId="47A876CC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D8718" w14:textId="30221897" w:rsidR="00B20393" w:rsidRPr="00166630" w:rsidRDefault="00B20393" w:rsidP="00B203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bez mechanických prvků v tělese svítidla, které mají za úkol regulovat intenzitu osvětlení, průměr operačního osvětleného pole nebo jakékoli další světelné vlastnosti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D48295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A23FF4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23042D30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164FA" w14:textId="166A15E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B73D" w14:textId="271621B0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endoskopický mód pro osvětlení na pozadí s plynulou regulací intenzity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54198FF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972F73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39DE02AD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893E" w14:textId="195CC480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AFB31" w14:textId="171725B2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minimální tepelné vyzařování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6387AE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58E1DF" w14:textId="77777777" w:rsidR="00B20393" w:rsidRPr="00166630" w:rsidRDefault="00B20393" w:rsidP="00B2039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31D0A3CC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97873" w14:textId="207F6E34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7FD7" w14:textId="6E0DDF73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ke každému svítidlu dvě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resterilizovatelné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rukojeti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EB0717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7BC8BD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2BEC45A0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E45A" w14:textId="2AF2D200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80BF8" w14:textId="25422B0D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snadné čištění a dezinfekce svítidel, použitý materiál a jeho poréznost, členitost povrchu, kompatibilita s laminárním prouděním a malé prostorové nároky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4FD034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F3540C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19DA21FB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C8DE" w14:textId="401E5A9E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21B9E6" w14:textId="767A5754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použité materiály maximálně odolné vůči běžně používaným čistícím a dezinfekčním prostředkům, odolné proti poškrábání a prasknutí, skleněný dolní kryt optických segmentů a LED zdrojů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E590D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F13064" w14:textId="77777777" w:rsidR="00B20393" w:rsidRPr="00166630" w:rsidRDefault="00B20393" w:rsidP="00B2039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1B404301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4FC1" w14:textId="0B3974EA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E9A71" w14:textId="75648FC2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krytí s certifikátem IP55</w:t>
            </w:r>
            <w:r w:rsidRPr="00B2039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B7E08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2C8D93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1F0CCCE1" w14:textId="77777777" w:rsidTr="000935EB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47EC" w14:textId="69B97D39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ED1F2" w14:textId="7F88A274" w:rsidR="00B20393" w:rsidRPr="00166630" w:rsidRDefault="00B20393" w:rsidP="00B20393">
            <w:pPr>
              <w:spacing w:line="276" w:lineRule="auto"/>
              <w:contextualSpacing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snadné polohování za pomoci flexibilního a plně kardanového zavěšení, nízká hmotnost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C790701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0EA64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4140AF74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C8F4E" w14:textId="58EF5273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28CAF" w14:textId="6B410B59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otáčení svítidel v rozsahu 360° – zcela bez dorazové provedení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CBFE4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E5AD92" w14:textId="77777777" w:rsidR="00B20393" w:rsidRPr="00166630" w:rsidRDefault="00B20393" w:rsidP="00B20393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704FFD1D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C0E4" w14:textId="601FB34E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DD2A" w14:textId="2DEBEC6E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elektrická bezpečnost podle EN 60-601-1/VDE 0750 T-1 a IEC 60601-2-41</w:t>
            </w:r>
            <w:r w:rsidRPr="00B20393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649B81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AE7874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0D2362AE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2EDB" w14:textId="5BF35382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86200" w14:textId="4C3FBF2C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napájení 230 V / 50 Hz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E456B0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DEA317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3362915F" w14:textId="77777777" w:rsidTr="00567F74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A049" w14:textId="0C622E81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0D95A" w14:textId="4495D63F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životnost světelných zdrojů minimálně 60 000 provozních hodin a 10 let provozu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0F1A73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7695ED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14C8DB8C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FAF1E" w14:textId="18E1C133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E0849" w14:textId="434911DE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výškově stavitelné, možnost naklánění a otáčení prostřednictvím nesterilních i sterilních prvků na tělese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B0B20F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ABC59C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32DE3680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B56A8" w14:textId="59CF973D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87233" w14:textId="653F4976" w:rsidR="00B20393" w:rsidRPr="00166630" w:rsidRDefault="00B20393" w:rsidP="00B203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zachování základního funkčního principu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jednozdrojového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operačního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E220271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C482E3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0D5B91F9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9540" w14:textId="239EA931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7B35B" w14:textId="6EF1C810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možnost instalace svítidla do místností s nízkými světlými výškami – konstrukční řešení od výrobce prostřednictvím speciálně navrženého systému ramen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4894AF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CC342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3A96067F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480C" w14:textId="356EA440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EDAC8" w14:textId="4C950519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garance zachování uvedené svítivosti po celou dobu životnosti operačního svítidla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28C368B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15777F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1C6308A2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2300" w14:textId="4610CBFB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8970E" w14:textId="3CBB3270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6630">
              <w:rPr>
                <w:rFonts w:asciiTheme="minorHAnsi" w:hAnsiTheme="minorHAnsi" w:cstheme="minorHAnsi"/>
                <w:sz w:val="22"/>
                <w:szCs w:val="22"/>
              </w:rPr>
              <w:t>jedno svítidlo s přípravou na HD kamerový systém nebo bezdrátovou HD kameru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07EF0B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6A559C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125C43D7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C4DC" w14:textId="1E4923D2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A4A8A" w14:textId="77777777" w:rsidR="00B20393" w:rsidRPr="00B20393" w:rsidRDefault="00B20393" w:rsidP="00B203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203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Technické podmínky RAMENO 1:</w:t>
            </w:r>
          </w:p>
          <w:p w14:paraId="76626167" w14:textId="77777777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intenzita osvětlení ve vzdálenosti 1 m min. 160 000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lx</w:t>
            </w:r>
            <w:proofErr w:type="spellEnd"/>
          </w:p>
          <w:p w14:paraId="268F1254" w14:textId="77777777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plynulá regulace 0-100 %</w:t>
            </w:r>
          </w:p>
          <w:p w14:paraId="7E7D011D" w14:textId="42079C87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průměr osvětleného pole min. 140-350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A0A388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AE64C2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20393" w:rsidRPr="00166630" w14:paraId="430BDF8C" w14:textId="77777777" w:rsidTr="00783A4F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F17B5" w14:textId="450F4205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36736" w14:textId="3EE66CD0" w:rsidR="00B20393" w:rsidRPr="00B20393" w:rsidRDefault="00B20393" w:rsidP="00B203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B2039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Technické podmínky RAMENO 2:</w:t>
            </w:r>
          </w:p>
          <w:p w14:paraId="406B6F7D" w14:textId="77777777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intenzita osvětlení ve vzdálenosti 1 m min. 160 000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lx</w:t>
            </w:r>
            <w:proofErr w:type="spellEnd"/>
          </w:p>
          <w:p w14:paraId="74A0E553" w14:textId="77777777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plynulá regulace 0-100 %</w:t>
            </w:r>
          </w:p>
          <w:p w14:paraId="7E4D2A1B" w14:textId="5B8A95F7" w:rsidR="00B20393" w:rsidRDefault="00B20393" w:rsidP="00B2039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 průměr osvětleného pole min. 140-350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554637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73A849" w14:textId="77777777" w:rsidR="00B20393" w:rsidRPr="00166630" w:rsidRDefault="00B20393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133FD5" w:rsidRPr="00166630" w14:paraId="2AADAB70" w14:textId="77777777" w:rsidTr="008A54C9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6160" w14:textId="6068834F" w:rsidR="00133FD5" w:rsidRDefault="00133FD5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CB98D" w14:textId="77777777" w:rsidR="00133FD5" w:rsidRDefault="00133FD5" w:rsidP="00B203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Požadavky na instalaci:</w:t>
            </w:r>
          </w:p>
          <w:p w14:paraId="76988267" w14:textId="53DAE8D5" w:rsidR="00133FD5" w:rsidRPr="00133FD5" w:rsidRDefault="00133FD5" w:rsidP="00133FD5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33FD5">
              <w:rPr>
                <w:rFonts w:ascii="Calibri" w:hAnsi="Calibri" w:cs="Calibri"/>
                <w:color w:val="000000"/>
                <w:sz w:val="22"/>
                <w:szCs w:val="22"/>
              </w:rPr>
              <w:t>Dodavatel operačního svítidla provede na vlastní náklady kontrolu stavební připravenosti, elektro-</w:t>
            </w:r>
            <w:r w:rsidRPr="00133FD5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 xml:space="preserve">přívodů a kotevních prvků na stávajícím operačním sále. Instalace bude provedena s maximální možnou šetrností a s využitím stávajících kotevních a připojovacích prvků. Související celky jako například povrchy a podhledy budou po instalaci uvedeny do původního stavu. V souvislosti s instalací nového zařízení není plánována jakákoli stavební a stavebně instalační činnost ze strany zadavatele. NA ZÁKLADĚ TOHO POŽADUJE ZADAVATEL MAXIMÁLNÍ KOMPATIBILITU SE STÁVAJÍCÍMI PŘIPOJOVACÍMI PARAMETRY (kotevními elementy, mezistropními konstrukcemi, stropními tubusy, </w:t>
            </w:r>
            <w:proofErr w:type="gramStart"/>
            <w:r w:rsidRPr="00133FD5">
              <w:rPr>
                <w:rFonts w:ascii="Calibri" w:hAnsi="Calibri" w:cs="Calibri"/>
                <w:color w:val="000000"/>
                <w:sz w:val="22"/>
                <w:szCs w:val="22"/>
              </w:rPr>
              <w:t>elektroinstalací,</w:t>
            </w:r>
            <w:proofErr w:type="gramEnd"/>
            <w:r w:rsidRPr="00133FD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atd.) Všechna nově instalovaná zařízení budou opatřena příslušnými revizními zprávami a obvyklou dokumentací, která odpovídá zákonným normám v době instalace. Zejména pak prohlášením o shodě, certifikátem označení CE, certifikátem systému řízení jakosti dle norem ISO a návodem k obsluze v českém jazyce.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3CFA426" w14:textId="77777777" w:rsidR="00133FD5" w:rsidRPr="00166630" w:rsidRDefault="00133FD5" w:rsidP="00B2039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93406" w14:textId="77777777" w:rsidR="00133FD5" w:rsidRPr="00166630" w:rsidRDefault="00133FD5" w:rsidP="00B20393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020FF2C1" w14:textId="77777777" w:rsidR="00B20393" w:rsidRPr="00B20393" w:rsidRDefault="00B20393" w:rsidP="00B20393">
      <w:pPr>
        <w:jc w:val="both"/>
        <w:rPr>
          <w:i/>
          <w:color w:val="FF0000"/>
        </w:rPr>
      </w:pPr>
      <w:r w:rsidRPr="00B20393">
        <w:rPr>
          <w:rFonts w:cs="Arial"/>
          <w:color w:val="FF0000"/>
        </w:rPr>
        <w:t>*</w:t>
      </w:r>
      <w:r w:rsidRPr="00B20393">
        <w:rPr>
          <w:i/>
          <w:color w:val="FF0000"/>
        </w:rPr>
        <w:t xml:space="preserve"> </w:t>
      </w:r>
      <w:r w:rsidRPr="00B20393">
        <w:rPr>
          <w:i/>
          <w:color w:val="FF0000"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B20393">
        <w:rPr>
          <w:i/>
          <w:color w:val="FF0000"/>
        </w:rPr>
        <w:t xml:space="preserve"> </w:t>
      </w:r>
    </w:p>
    <w:p w14:paraId="11DDA5E5" w14:textId="77777777" w:rsidR="0022678C" w:rsidRPr="00166630" w:rsidRDefault="0022678C" w:rsidP="0022678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AB5C81E" w14:textId="77777777" w:rsidR="00B20393" w:rsidRPr="00166630" w:rsidRDefault="00B20393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5EF73F3B" w14:textId="77777777" w:rsidR="00344E00" w:rsidRPr="00166630" w:rsidRDefault="00344E00" w:rsidP="00344E00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sz w:val="22"/>
          <w:szCs w:val="22"/>
        </w:rPr>
        <w:t>Doplňující informace:</w:t>
      </w:r>
    </w:p>
    <w:p w14:paraId="4E41ACEC" w14:textId="77777777" w:rsidR="00344E00" w:rsidRPr="00166630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893C88E" w14:textId="77777777" w:rsidR="00344E00" w:rsidRPr="0016663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v rámci záruky budou BTK prováděny zdarma</w:t>
      </w:r>
    </w:p>
    <w:p w14:paraId="6881BBDC" w14:textId="5E8DFF5B" w:rsidR="00344E00" w:rsidRPr="0016663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klasifikační třída zdravotnického přístroje</w:t>
      </w:r>
      <w:r w:rsidR="00F707B9" w:rsidRPr="00166630">
        <w:rPr>
          <w:rFonts w:asciiTheme="minorHAnsi" w:hAnsiTheme="minorHAnsi" w:cstheme="minorHAnsi"/>
          <w:sz w:val="22"/>
          <w:szCs w:val="22"/>
        </w:rPr>
        <w:t>:</w:t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  <w:highlight w:val="yellow"/>
        </w:rPr>
        <w:t xml:space="preserve">…………… </w:t>
      </w:r>
      <w:r w:rsidRPr="00166630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29D4F092" w14:textId="1D0F6C43" w:rsidR="00344E00" w:rsidRPr="0016663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166630">
        <w:rPr>
          <w:rFonts w:asciiTheme="minorHAnsi" w:hAnsiTheme="minorHAnsi" w:cstheme="minorHAnsi"/>
          <w:sz w:val="22"/>
          <w:szCs w:val="22"/>
        </w:rPr>
        <w:t>uveďte nároky na kalibraci, validaci případně jiná metrologická ověření a jejich četnost (pokud přístroj tyto úkony nevyžaduje, uveďte to také)</w:t>
      </w:r>
      <w:r w:rsidR="00F707B9" w:rsidRPr="00166630">
        <w:rPr>
          <w:rFonts w:asciiTheme="minorHAnsi" w:hAnsiTheme="minorHAnsi" w:cstheme="minorHAnsi"/>
          <w:sz w:val="22"/>
          <w:szCs w:val="22"/>
        </w:rPr>
        <w:t>:</w:t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</w:rPr>
        <w:tab/>
      </w:r>
      <w:r w:rsidRPr="00166630">
        <w:rPr>
          <w:rFonts w:asciiTheme="minorHAnsi" w:hAnsiTheme="minorHAnsi" w:cstheme="minorHAnsi"/>
          <w:sz w:val="22"/>
          <w:szCs w:val="22"/>
          <w:highlight w:val="yellow"/>
        </w:rPr>
        <w:t>………</w:t>
      </w:r>
      <w:proofErr w:type="gramStart"/>
      <w:r w:rsidRPr="00166630">
        <w:rPr>
          <w:rFonts w:asciiTheme="minorHAnsi" w:hAnsiTheme="minorHAnsi" w:cstheme="minorHAnsi"/>
          <w:sz w:val="22"/>
          <w:szCs w:val="22"/>
          <w:highlight w:val="yellow"/>
        </w:rPr>
        <w:t>…….</w:t>
      </w:r>
      <w:proofErr w:type="gramEnd"/>
      <w:r w:rsidRPr="00166630">
        <w:rPr>
          <w:rFonts w:asciiTheme="minorHAnsi" w:hAnsiTheme="minorHAnsi" w:cstheme="minorHAnsi"/>
          <w:sz w:val="22"/>
          <w:szCs w:val="22"/>
          <w:highlight w:val="yellow"/>
        </w:rPr>
        <w:t>.</w:t>
      </w:r>
      <w:r w:rsidRPr="00166630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(doplní dodavatel)</w:t>
      </w:r>
    </w:p>
    <w:p w14:paraId="691DD4D9" w14:textId="77777777" w:rsidR="00344E00" w:rsidRPr="00166630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387B716F" w14:textId="77777777" w:rsidR="00344E00" w:rsidRPr="00166630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72BB78AD" w14:textId="77777777" w:rsidR="00344E00" w:rsidRPr="00166630" w:rsidRDefault="00344E00" w:rsidP="00344E00">
      <w:pPr>
        <w:spacing w:after="20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66630">
        <w:rPr>
          <w:rFonts w:asciiTheme="minorHAnsi" w:hAnsiTheme="minorHAnsi" w:cstheme="minorHAnsi"/>
          <w:b/>
          <w:bCs/>
          <w:sz w:val="22"/>
          <w:szCs w:val="22"/>
        </w:rPr>
        <w:t>Ostatní požadavky (jsou-li nezbytné pro zajištění funkčnosti nabízeného systému):</w:t>
      </w:r>
    </w:p>
    <w:p w14:paraId="1D117E62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94620657"/>
      <w:r w:rsidRPr="00166630">
        <w:rPr>
          <w:rFonts w:asciiTheme="minorHAnsi" w:hAnsiTheme="minorHAnsi" w:cstheme="minorHAnsi"/>
          <w:sz w:val="22"/>
          <w:szCs w:val="22"/>
        </w:rPr>
        <w:t>Zapojení všech prvků do LAN a napojení na NIS (</w:t>
      </w:r>
      <w:proofErr w:type="spellStart"/>
      <w:r w:rsidRPr="00166630">
        <w:rPr>
          <w:rFonts w:asciiTheme="minorHAnsi" w:hAnsiTheme="minorHAnsi" w:cstheme="minorHAnsi"/>
          <w:sz w:val="22"/>
          <w:szCs w:val="22"/>
        </w:rPr>
        <w:t>Worklist</w:t>
      </w:r>
      <w:proofErr w:type="spellEnd"/>
      <w:r w:rsidRPr="00166630">
        <w:rPr>
          <w:rFonts w:asciiTheme="minorHAnsi" w:hAnsiTheme="minorHAnsi" w:cstheme="minorHAnsi"/>
          <w:sz w:val="22"/>
          <w:szCs w:val="22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432A410E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 xml:space="preserve">V případě napojení komponent dodávaného systému na stávající </w:t>
      </w:r>
      <w:proofErr w:type="spellStart"/>
      <w:r w:rsidRPr="00166630">
        <w:rPr>
          <w:rFonts w:asciiTheme="minorHAnsi" w:hAnsiTheme="minorHAnsi" w:cstheme="minorHAnsi"/>
          <w:sz w:val="22"/>
          <w:szCs w:val="22"/>
        </w:rPr>
        <w:t>WiFi</w:t>
      </w:r>
      <w:proofErr w:type="spellEnd"/>
      <w:r w:rsidRPr="00166630">
        <w:rPr>
          <w:rFonts w:asciiTheme="minorHAnsi" w:hAnsiTheme="minorHAnsi" w:cstheme="minorHAnsi"/>
          <w:sz w:val="22"/>
          <w:szCs w:val="22"/>
        </w:rPr>
        <w:t xml:space="preserve"> síť nemocnice je požadováno, aby </w:t>
      </w:r>
      <w:proofErr w:type="spellStart"/>
      <w:r w:rsidRPr="00166630">
        <w:rPr>
          <w:rFonts w:asciiTheme="minorHAnsi" w:hAnsiTheme="minorHAnsi" w:cstheme="minorHAnsi"/>
          <w:sz w:val="22"/>
          <w:szCs w:val="22"/>
        </w:rPr>
        <w:t>WiFi</w:t>
      </w:r>
      <w:proofErr w:type="spellEnd"/>
      <w:r w:rsidRPr="00166630">
        <w:rPr>
          <w:rFonts w:asciiTheme="minorHAnsi" w:hAnsiTheme="minorHAnsi" w:cstheme="minorHAnsi"/>
          <w:sz w:val="22"/>
          <w:szCs w:val="22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kterého, k jednotlivým MAC adresám bude vygenerováno unikátní </w:t>
      </w:r>
      <w:proofErr w:type="gramStart"/>
      <w:r w:rsidRPr="00166630">
        <w:rPr>
          <w:rFonts w:asciiTheme="minorHAnsi" w:hAnsiTheme="minorHAnsi" w:cstheme="minorHAnsi"/>
          <w:sz w:val="22"/>
          <w:szCs w:val="22"/>
        </w:rPr>
        <w:t>20-místné</w:t>
      </w:r>
      <w:proofErr w:type="gramEnd"/>
      <w:r w:rsidRPr="00166630">
        <w:rPr>
          <w:rFonts w:asciiTheme="minorHAnsi" w:hAnsiTheme="minorHAnsi" w:cstheme="minorHAnsi"/>
          <w:sz w:val="22"/>
          <w:szCs w:val="22"/>
        </w:rPr>
        <w:t xml:space="preserve"> heslo a předáno dodavateli ke konfiguraci.</w:t>
      </w:r>
    </w:p>
    <w:p w14:paraId="470E8C8E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 xml:space="preserve">Součástí dodávky bude i přístupová licence MS </w:t>
      </w:r>
      <w:proofErr w:type="spellStart"/>
      <w:r w:rsidRPr="00166630">
        <w:rPr>
          <w:rFonts w:asciiTheme="minorHAnsi" w:hAnsiTheme="minorHAnsi" w:cstheme="minorHAnsi"/>
          <w:sz w:val="22"/>
          <w:szCs w:val="22"/>
        </w:rPr>
        <w:t>Device</w:t>
      </w:r>
      <w:proofErr w:type="spellEnd"/>
      <w:r w:rsidRPr="00166630">
        <w:rPr>
          <w:rFonts w:asciiTheme="minorHAnsi" w:hAnsiTheme="minorHAnsi" w:cstheme="minorHAnsi"/>
          <w:sz w:val="22"/>
          <w:szCs w:val="22"/>
        </w:rPr>
        <w:t xml:space="preserve"> CAL 2019 v celkovém počtu dodaných PC přistupujících k serveru Microsoft Zadavatele. Veškeré dodané SW licence budou registrovány </w:t>
      </w:r>
      <w:r w:rsidRPr="00166630">
        <w:rPr>
          <w:rFonts w:asciiTheme="minorHAnsi" w:hAnsiTheme="minorHAnsi" w:cstheme="minorHAnsi"/>
          <w:sz w:val="22"/>
          <w:szCs w:val="22"/>
        </w:rPr>
        <w:lastRenderedPageBreak/>
        <w:t>(vyžaduje-li se registrace licence u výrobce) na uživatele, jímž je Oblastní nemocnice Náchod a.s. Kontaktní osobou je vedoucí útvaru ICT.</w:t>
      </w:r>
    </w:p>
    <w:p w14:paraId="1432EE98" w14:textId="77777777" w:rsidR="00344E00" w:rsidRPr="00166630" w:rsidRDefault="00344E00" w:rsidP="00344E00">
      <w:pPr>
        <w:spacing w:after="20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66630">
        <w:rPr>
          <w:rFonts w:asciiTheme="minorHAnsi" w:hAnsiTheme="minorHAnsi" w:cstheme="minorHAnsi"/>
          <w:b/>
          <w:color w:val="0000FF"/>
          <w:sz w:val="22"/>
          <w:szCs w:val="22"/>
        </w:rPr>
        <w:t xml:space="preserve">Kybernetická bezpečnost </w:t>
      </w:r>
    </w:p>
    <w:p w14:paraId="00F7E9E1" w14:textId="77777777" w:rsidR="00344E00" w:rsidRPr="00166630" w:rsidRDefault="00344E00" w:rsidP="00344E00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66630" w:rsidRDefault="00344E00" w:rsidP="00344E00">
      <w:pPr>
        <w:jc w:val="both"/>
        <w:rPr>
          <w:rFonts w:asciiTheme="minorHAnsi" w:hAnsiTheme="minorHAnsi" w:cstheme="minorHAnsi"/>
          <w:sz w:val="22"/>
          <w:szCs w:val="22"/>
        </w:rPr>
      </w:pPr>
      <w:r w:rsidRPr="00166630">
        <w:rPr>
          <w:rFonts w:asciiTheme="minorHAnsi" w:hAnsiTheme="minorHAnsi" w:cstheme="minorHAnsi"/>
          <w:sz w:val="22"/>
          <w:szCs w:val="22"/>
        </w:rPr>
        <w:t>Dodávaný systém musí splňovat požadavky ZKB a navazujících předpisů, zejména vyhlášky č. 82/2018 Sb. o bezpečnostních opatřeních, kybernetických bezpečnostních incidentech.</w:t>
      </w:r>
    </w:p>
    <w:bookmarkEnd w:id="0"/>
    <w:p w14:paraId="00FA4E96" w14:textId="77777777" w:rsidR="00344E00" w:rsidRPr="00166630" w:rsidRDefault="00344E00" w:rsidP="00344E0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246DB35" w14:textId="77777777" w:rsidR="00344E00" w:rsidRPr="00166630" w:rsidRDefault="00344E00">
      <w:pPr>
        <w:rPr>
          <w:rFonts w:asciiTheme="minorHAnsi" w:hAnsiTheme="minorHAnsi" w:cstheme="minorHAnsi"/>
          <w:sz w:val="22"/>
          <w:szCs w:val="22"/>
        </w:rPr>
      </w:pPr>
    </w:p>
    <w:sectPr w:rsidR="00344E00" w:rsidRPr="001666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562F0" w14:textId="77777777" w:rsidR="00344E00" w:rsidRDefault="00344E00" w:rsidP="00344E00">
      <w:r>
        <w:separator/>
      </w:r>
    </w:p>
  </w:endnote>
  <w:endnote w:type="continuationSeparator" w:id="0">
    <w:p w14:paraId="04FB1E43" w14:textId="77777777" w:rsidR="00344E00" w:rsidRDefault="00344E0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52DA1" w14:textId="77777777" w:rsidR="00344E00" w:rsidRDefault="00344E00" w:rsidP="00344E00">
      <w:r>
        <w:separator/>
      </w:r>
    </w:p>
  </w:footnote>
  <w:footnote w:type="continuationSeparator" w:id="0">
    <w:p w14:paraId="3DB987D1" w14:textId="77777777" w:rsidR="00344E00" w:rsidRDefault="00344E0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39BBF4B7" w:rsidR="00344E00" w:rsidRPr="00C94821" w:rsidRDefault="00344E00" w:rsidP="00344E00">
    <w:pPr>
      <w:pStyle w:val="Zhlav"/>
    </w:pPr>
    <w:r>
      <w:t xml:space="preserve">Příloha č. </w:t>
    </w:r>
    <w:r w:rsidR="00567F74">
      <w:t>2_</w:t>
    </w:r>
    <w:r w:rsidR="00073960">
      <w:t>3 -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719474584">
    <w:abstractNumId w:val="0"/>
  </w:num>
  <w:num w:numId="4" w16cid:durableId="1131174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63DCE"/>
    <w:rsid w:val="00073960"/>
    <w:rsid w:val="000962DD"/>
    <w:rsid w:val="000B36C7"/>
    <w:rsid w:val="0011111A"/>
    <w:rsid w:val="00113182"/>
    <w:rsid w:val="0013332F"/>
    <w:rsid w:val="00133FD5"/>
    <w:rsid w:val="001613C5"/>
    <w:rsid w:val="00166630"/>
    <w:rsid w:val="001843AE"/>
    <w:rsid w:val="001A4508"/>
    <w:rsid w:val="001F58C4"/>
    <w:rsid w:val="0022678C"/>
    <w:rsid w:val="00260346"/>
    <w:rsid w:val="00283BD1"/>
    <w:rsid w:val="00284B2A"/>
    <w:rsid w:val="002C55A8"/>
    <w:rsid w:val="00344E00"/>
    <w:rsid w:val="003462C5"/>
    <w:rsid w:val="00362C77"/>
    <w:rsid w:val="00384164"/>
    <w:rsid w:val="003932B8"/>
    <w:rsid w:val="003A76FB"/>
    <w:rsid w:val="003C218D"/>
    <w:rsid w:val="00443439"/>
    <w:rsid w:val="004C0BFF"/>
    <w:rsid w:val="004F0BD5"/>
    <w:rsid w:val="005237DA"/>
    <w:rsid w:val="00567F74"/>
    <w:rsid w:val="005C07F2"/>
    <w:rsid w:val="00605906"/>
    <w:rsid w:val="0061151C"/>
    <w:rsid w:val="00631FFC"/>
    <w:rsid w:val="006700BA"/>
    <w:rsid w:val="00672E66"/>
    <w:rsid w:val="006840A2"/>
    <w:rsid w:val="0069482B"/>
    <w:rsid w:val="006A702C"/>
    <w:rsid w:val="006C435A"/>
    <w:rsid w:val="006C5A72"/>
    <w:rsid w:val="006D2E89"/>
    <w:rsid w:val="006D6B35"/>
    <w:rsid w:val="007138FF"/>
    <w:rsid w:val="0074295E"/>
    <w:rsid w:val="00747A11"/>
    <w:rsid w:val="00783A4F"/>
    <w:rsid w:val="00787F6E"/>
    <w:rsid w:val="007F53BA"/>
    <w:rsid w:val="00815FE5"/>
    <w:rsid w:val="00845886"/>
    <w:rsid w:val="00952276"/>
    <w:rsid w:val="00955DA3"/>
    <w:rsid w:val="00990B93"/>
    <w:rsid w:val="009B1AF1"/>
    <w:rsid w:val="009F2C84"/>
    <w:rsid w:val="00AA0935"/>
    <w:rsid w:val="00AD33B0"/>
    <w:rsid w:val="00AD49EC"/>
    <w:rsid w:val="00B20393"/>
    <w:rsid w:val="00B602CC"/>
    <w:rsid w:val="00C0302E"/>
    <w:rsid w:val="00C226A3"/>
    <w:rsid w:val="00C35D86"/>
    <w:rsid w:val="00C920C0"/>
    <w:rsid w:val="00CE6ACC"/>
    <w:rsid w:val="00CF582B"/>
    <w:rsid w:val="00D20CF3"/>
    <w:rsid w:val="00DB780D"/>
    <w:rsid w:val="00DC78F2"/>
    <w:rsid w:val="00DC7AD4"/>
    <w:rsid w:val="00DF1AED"/>
    <w:rsid w:val="00E30C72"/>
    <w:rsid w:val="00E44144"/>
    <w:rsid w:val="00EA1070"/>
    <w:rsid w:val="00EF6E53"/>
    <w:rsid w:val="00F37A20"/>
    <w:rsid w:val="00F51825"/>
    <w:rsid w:val="00F707B9"/>
    <w:rsid w:val="00F91200"/>
    <w:rsid w:val="00FB36F4"/>
    <w:rsid w:val="00FE1CC5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2068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Michaela Kapustová</cp:lastModifiedBy>
  <cp:revision>6</cp:revision>
  <dcterms:created xsi:type="dcterms:W3CDTF">2022-12-15T08:34:00Z</dcterms:created>
  <dcterms:modified xsi:type="dcterms:W3CDTF">2023-02-06T11:18:00Z</dcterms:modified>
</cp:coreProperties>
</file>